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both"/>
        <w:outlineLvl w:val="1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spacing w:line="360" w:lineRule="auto"/>
        <w:jc w:val="center"/>
        <w:outlineLvl w:val="1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天津职业大学报告厅借用申请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outlineLvl w:val="1"/>
        <w:rPr>
          <w:rFonts w:hint="default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1465" w:tblpY="507"/>
        <w:tblOverlap w:val="never"/>
        <w:tblW w:w="54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036"/>
        <w:gridCol w:w="2237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6" w:hRule="atLeast"/>
        </w:trPr>
        <w:tc>
          <w:tcPr>
            <w:tcW w:w="1263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申请使用时间</w:t>
            </w:r>
          </w:p>
        </w:tc>
        <w:tc>
          <w:tcPr>
            <w:tcW w:w="1106" w:type="pct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1415" w:type="pct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63" w:type="pct"/>
          </w:tcPr>
          <w:p>
            <w:pPr>
              <w:widowControl w:val="0"/>
              <w:numPr>
                <w:ilvl w:val="0"/>
                <w:numId w:val="0"/>
              </w:numPr>
              <w:spacing w:line="72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会议名称</w:t>
            </w:r>
          </w:p>
        </w:tc>
        <w:tc>
          <w:tcPr>
            <w:tcW w:w="3736" w:type="pct"/>
            <w:gridSpan w:val="3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63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1106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415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63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场地所在校区</w:t>
            </w:r>
          </w:p>
        </w:tc>
        <w:tc>
          <w:tcPr>
            <w:tcW w:w="1106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报告厅名称</w:t>
            </w:r>
          </w:p>
        </w:tc>
        <w:tc>
          <w:tcPr>
            <w:tcW w:w="1415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是否有校外人员</w:t>
            </w:r>
          </w:p>
        </w:tc>
        <w:tc>
          <w:tcPr>
            <w:tcW w:w="1106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校外人员是否发言</w:t>
            </w:r>
          </w:p>
        </w:tc>
        <w:tc>
          <w:tcPr>
            <w:tcW w:w="1415" w:type="pct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center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5000" w:type="pct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line="600" w:lineRule="auto"/>
              <w:jc w:val="left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需求备注：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outlineLvl w:val="1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5040" w:firstLineChars="2100"/>
              <w:jc w:val="both"/>
              <w:outlineLvl w:val="1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5000" w:type="pct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5040" w:firstLineChars="2100"/>
              <w:jc w:val="both"/>
              <w:outlineLvl w:val="1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5040" w:firstLineChars="2100"/>
              <w:jc w:val="both"/>
              <w:outlineLvl w:val="1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before="312" w:beforeLines="100" w:line="560" w:lineRule="exact"/>
              <w:ind w:firstLine="4160" w:firstLineChars="13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部门领导：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firstLine="4160" w:firstLineChars="1300"/>
              <w:jc w:val="both"/>
              <w:outlineLvl w:val="1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（签字盖章）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outlineLvl w:val="1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outlineLvl w:val="1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outlineLvl w:val="1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outlineLvl w:val="1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outlineLvl w:val="1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44"/>
          <w:szCs w:val="32"/>
        </w:rPr>
        <w:t>报告厅使用告知书（暂行版）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为规范报告厅的使用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ascii="仿宋" w:hAnsi="仿宋" w:eastAsia="仿宋" w:cs="仿宋"/>
          <w:sz w:val="32"/>
          <w:szCs w:val="32"/>
        </w:rPr>
        <w:t>管理,确保各项会议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>的顺利</w:t>
      </w:r>
      <w:r>
        <w:rPr>
          <w:rFonts w:hint="eastAsia" w:ascii="仿宋" w:hAnsi="仿宋" w:eastAsia="仿宋" w:cs="仿宋"/>
          <w:sz w:val="32"/>
          <w:szCs w:val="32"/>
        </w:rPr>
        <w:t>进行，按照“安全第一，预防为主”的方针和“谁使用，谁负责”的原则，使用部门必须严格遵守相关管理规定，确保使用安全，具体内容如下：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一、会议（活动）需经部门的主管校领导审批同意或在学校相关部门完成会议（活动）的备案手续后，方可使用；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二、使用部门须指定至少一名现场责任人，且保证责任人全程跟会，每次会议（活动）前认真检查、核实设备是否完好，并在《报告厅（多功能厅）使用确认表》中签字确认；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三、现场责任人需在会议（活动）开始前和现代教育技术中心工作人员沟通配合，提前做好调试会标、音响、灯光，连接笔记本等工作（笔记本由使用部门自行提供）；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四、现场责任人应提前熟悉报告厅《紧急疏散示意图》或安全疏散通道，并做好突发事件处理预案和消杀防护预案，及时处理现场应急状况、意外事故等突发事件；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五、现场责任人应监督和规范参会人员遵守《天津职业大学报告厅及多功能厅管理办法》，维持参会人员进退场及现场秩序，使用期间保持所有的安全门畅通，如遇火灾等紧急情况，指引参会人员进行有序撤离；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六、会议（活动）内容需与申报理由相符，严禁开展违法违规及商业性、盈利性的活动，因违规使用造成严重后果的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，概由使用部门承担相应责任；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七</w:t>
      </w:r>
      <w:r>
        <w:rPr>
          <w:rFonts w:ascii="仿宋" w:hAnsi="仿宋" w:eastAsia="仿宋" w:cs="仿宋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禁止</w:t>
      </w:r>
      <w:r>
        <w:rPr>
          <w:rFonts w:ascii="仿宋" w:hAnsi="仿宋" w:eastAsia="仿宋" w:cs="仿宋"/>
          <w:sz w:val="32"/>
          <w:szCs w:val="32"/>
          <w:highlight w:val="none"/>
        </w:rPr>
        <w:t>超载使用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各报告厅主席台（图书馆新报告厅的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主席台</w:t>
      </w:r>
      <w:r>
        <w:rPr>
          <w:rFonts w:ascii="仿宋" w:hAnsi="仿宋" w:eastAsia="仿宋" w:cs="仿宋"/>
          <w:sz w:val="32"/>
          <w:szCs w:val="32"/>
          <w:highlight w:val="none"/>
        </w:rPr>
        <w:t>有效可用面积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50</w:t>
      </w:r>
      <w:r>
        <w:rPr>
          <w:rFonts w:ascii="仿宋" w:hAnsi="仿宋" w:eastAsia="仿宋" w:cs="仿宋"/>
          <w:sz w:val="32"/>
          <w:szCs w:val="32"/>
          <w:highlight w:val="none"/>
        </w:rPr>
        <w:t>m</w:t>
      </w:r>
      <w:r>
        <w:rPr>
          <w:rFonts w:ascii="仿宋" w:hAnsi="仿宋" w:eastAsia="仿宋" w:cs="仿宋"/>
          <w:sz w:val="32"/>
          <w:szCs w:val="32"/>
          <w:highlight w:val="none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，最大承载100kg</w:t>
      </w:r>
      <w:r>
        <w:rPr>
          <w:rFonts w:ascii="仿宋" w:hAnsi="仿宋" w:eastAsia="仿宋" w:cs="仿宋"/>
          <w:sz w:val="32"/>
          <w:szCs w:val="32"/>
          <w:highlight w:val="none"/>
        </w:rPr>
        <w:t>/m</w:t>
      </w:r>
      <w:r>
        <w:rPr>
          <w:rFonts w:ascii="仿宋" w:hAnsi="仿宋" w:eastAsia="仿宋" w:cs="仿宋"/>
          <w:sz w:val="32"/>
          <w:szCs w:val="32"/>
          <w:highlight w:val="none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因</w:t>
      </w:r>
      <w:r>
        <w:rPr>
          <w:rFonts w:ascii="仿宋" w:hAnsi="仿宋" w:eastAsia="仿宋" w:cs="仿宋"/>
          <w:sz w:val="32"/>
          <w:szCs w:val="32"/>
          <w:highlight w:val="none"/>
        </w:rPr>
        <w:t>超载使用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造成安全事故的，由使用部门承担相应责任；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禁止携带饮品、食物和危险品等进入场地，严禁在墙面或地面私自张贴悬挂海报、广告、横幅等，不得随意搬动、拿走或损坏桌椅、讲台、电脑等厅内设施，特殊情况需搬动的，须经现代教育技术中心同意，并于使用后放归原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九、未经允许，任何人不得擅自进入控制室，不准擅自改动设备的连接线，不准擅自移动或拆卸任何设备，不准擅自把设备拿出控制室外使用；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十、现代教育技术中心工作人员负责维护设备正常运行，不参与会议过程，如需在会议中途切换PPT、视频、音乐等，请使用部门安排专人负责操作；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待会议（活动）结束后，现场责任人应协调整理厅内卫生，恢复厅内布置，经现代教育技术中心工作人员核实无误并填写《报告厅（多功能厅）使用确认表》后方可离开，会议（活动）期间因使用不当造成公物损坏、设备丢失或其他安全事故的，由使用部门承担相应责任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十二、对于未按规定要求使用的部门，现代教育技术中心有权不予再次使用。 </w:t>
      </w:r>
    </w:p>
    <w:p>
      <w:pPr>
        <w:spacing w:before="312" w:beforeLines="100" w:line="560" w:lineRule="exact"/>
        <w:ind w:firstLine="4480" w:firstLineChars="1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使用部门领导：</w:t>
      </w:r>
    </w:p>
    <w:p>
      <w:pPr>
        <w:spacing w:line="560" w:lineRule="exact"/>
        <w:ind w:firstLine="4320" w:firstLineChars="13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（签字盖章）   </w:t>
      </w:r>
    </w:p>
    <w:p>
      <w:pPr>
        <w:spacing w:line="560" w:lineRule="exact"/>
        <w:ind w:firstLine="4480" w:firstLineChars="1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现场责任人：</w:t>
      </w:r>
    </w:p>
    <w:p>
      <w:pPr>
        <w:spacing w:line="560" w:lineRule="exact"/>
        <w:ind w:left="3833" w:leftChars="1368" w:hanging="960" w:hangingChars="300"/>
        <w:jc w:val="left"/>
      </w:pPr>
      <w:r>
        <w:rPr>
          <w:rFonts w:hint="eastAsia" w:ascii="仿宋" w:hAnsi="仿宋" w:eastAsia="仿宋" w:cs="仿宋"/>
          <w:sz w:val="32"/>
          <w:szCs w:val="32"/>
        </w:rPr>
        <w:t xml:space="preserve">          签署日期：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ZjdiMTAwY2YzNmMxOGYyY2NhMDMxYWZjNTBmMGYifQ=="/>
  </w:docVars>
  <w:rsids>
    <w:rsidRoot w:val="22B315E0"/>
    <w:rsid w:val="22B3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2023-02-24T05:27:00Z</dcterms:created>
  <dc:creator>Administrator</dc:creator>
  <cp:lastModifiedBy>Administrator</cp:lastModifiedBy>
  <dcterms:modified xsi:type="dcterms:W3CDTF">2023-02-24T05:27:52Z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FEF2AD8DA180482986380D43896291C2</vt:lpwstr>
  </property>
</Properties>
</file>